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000"/>
      </w:tblGrid>
      <w:tr w:rsidR="006D7CD9" w:rsidRPr="006D7CD9" w:rsidTr="006D7CD9">
        <w:trPr>
          <w:trHeight w:val="12090"/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6C"/>
            <w:vAlign w:val="center"/>
            <w:hideMark/>
          </w:tcPr>
          <w:p w:rsidR="006D7CD9" w:rsidRPr="006D7CD9" w:rsidRDefault="006D7CD9" w:rsidP="006D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tbl>
            <w:tblPr>
              <w:tblW w:w="5000" w:type="pct"/>
              <w:jc w:val="center"/>
              <w:tblCellSpacing w:w="1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10"/>
            </w:tblGrid>
            <w:tr w:rsidR="006D7CD9" w:rsidRPr="006D7CD9">
              <w:trPr>
                <w:tblCellSpacing w:w="15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6D7CD9" w:rsidRPr="006D7CD9" w:rsidRDefault="006D7CD9" w:rsidP="006D7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6D7CD9">
                    <w:rPr>
                      <w:rFonts w:ascii="Arial CE" w:eastAsia="Times New Roman" w:hAnsi="Arial CE" w:cs="Arial CE"/>
                      <w:b/>
                      <w:bCs/>
                      <w:sz w:val="27"/>
                      <w:szCs w:val="27"/>
                      <w:lang w:eastAsia="hu-HU"/>
                    </w:rPr>
                    <w:t>Hõcserélõk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b/>
                      <w:bCs/>
                      <w:sz w:val="27"/>
                      <w:szCs w:val="27"/>
                      <w:lang w:eastAsia="hu-HU"/>
                    </w:rPr>
                    <w:t xml:space="preserve"> kiválasztása napkollektoros rendszerek részére</w:t>
                  </w:r>
                </w:p>
                <w:p w:rsidR="006D7CD9" w:rsidRPr="006D7CD9" w:rsidRDefault="006D7CD9" w:rsidP="006D7C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A napkollektoros rendszerek legfontosabb eleme természetesen a napkollektor. A hasznosítható napenergia mennyisége azonban korántsem csak az alkalmazott kollektorok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minõségétõl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függ. Legalább ilyen fontos a rendszer többi elemének helyes kiválasztása is. Ez a cikk 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hõcserélõk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méretezésére hívja fel a figyelmet.</w:t>
                  </w:r>
                </w:p>
                <w:p w:rsidR="006D7CD9" w:rsidRPr="006D7CD9" w:rsidRDefault="006D7CD9" w:rsidP="006D7C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A Magyarországon alkalmazott napkollektoros rendszerek az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egyszerû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, nyári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medencefûtõ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rendszerek kivételével kétkörösek, vagyis a napkollektor kör külön zárt kör, amit fagyálló folyadékkal töltenek fel. A kollektorokban tehát nem közvetlenül a felmelegíteni kívánt víz kering, ezért valamilyen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</w:t>
                  </w:r>
                  <w:proofErr w:type="gram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cserél</w:t>
                  </w:r>
                  <w:proofErr w:type="gram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õt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kell alkalmazni a fagyálló-víz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hõcsere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lebonyolítására.</w:t>
                  </w:r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br/>
                    <w:t xml:space="preserve">Az alkalmazott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hõcserélõket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alapvetõen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két csoportra lehet bontani: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belsõ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és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külsõ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hõcserélõkre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.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Belsõ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hõcserélõnek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azt nevezzük, amikor a kollektorok tárolót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fûtenek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, és a tárolóban egy beépített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csõkígyó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található. Ezen belül áramlik a kollektorokban felmelegedett fagyálló folyadék, kívül pedig a tároló vize veszi körül 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csõkígyót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.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Külsõ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</w:t>
                  </w:r>
                  <w:proofErr w:type="gram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cserél</w:t>
                  </w:r>
                  <w:proofErr w:type="gram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esetén 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a tárolón kívül helyezkedik el, és mindkét közeget - a fagyállót és 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fûtendõ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vizet is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-szivattyú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keringteti. Erre a célra általában rozsdamentes acélból készült lemezes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hõcserélõket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használnak.</w:t>
                  </w:r>
                </w:p>
                <w:tbl>
                  <w:tblPr>
                    <w:tblW w:w="7575" w:type="dxa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75"/>
                  </w:tblGrid>
                  <w:tr w:rsidR="006D7CD9" w:rsidRPr="006D7CD9">
                    <w:trPr>
                      <w:tblCellSpacing w:w="15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6D7CD9" w:rsidRPr="006D7CD9" w:rsidRDefault="006D7CD9" w:rsidP="006D7C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hu-HU"/>
                          </w:rPr>
                          <w:drawing>
                            <wp:inline distT="0" distB="0" distL="0" distR="0">
                              <wp:extent cx="2724150" cy="1743075"/>
                              <wp:effectExtent l="19050" t="0" r="0" b="0"/>
                              <wp:docPr id="1" name="Kép 1" descr="http://www.naplopo.hu/Cikkek/Hocserelo/1abr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www.naplopo.hu/Cikkek/Hocserelo/1abr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24150" cy="1743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CD9" w:rsidRPr="006D7CD9">
                    <w:trPr>
                      <w:tblCellSpacing w:w="15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6D7CD9" w:rsidRPr="006D7CD9" w:rsidRDefault="006D7CD9" w:rsidP="006D7C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6D7C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  <w:r w:rsidRPr="006D7CD9">
                          <w:rPr>
                            <w:rFonts w:ascii="Arial CE" w:eastAsia="Times New Roman" w:hAnsi="Arial CE" w:cs="Arial CE"/>
                            <w:b/>
                            <w:bCs/>
                            <w:sz w:val="20"/>
                            <w:szCs w:val="20"/>
                            <w:lang w:eastAsia="hu-HU"/>
                          </w:rPr>
                          <w:t>1. ábra</w:t>
                        </w:r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br/>
                        </w:r>
                        <w:proofErr w:type="spellStart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>Belsõ</w:t>
                        </w:r>
                        <w:proofErr w:type="spellEnd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 xml:space="preserve"> és </w:t>
                        </w:r>
                        <w:proofErr w:type="spellStart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>külsõ</w:t>
                        </w:r>
                        <w:proofErr w:type="spellEnd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 xml:space="preserve"> </w:t>
                        </w:r>
                        <w:proofErr w:type="spellStart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>hõcserélõk</w:t>
                        </w:r>
                        <w:proofErr w:type="spellEnd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 xml:space="preserve"> a kollektoros rendszerekben</w:t>
                        </w:r>
                      </w:p>
                    </w:tc>
                  </w:tr>
                </w:tbl>
                <w:p w:rsidR="006D7CD9" w:rsidRPr="006D7CD9" w:rsidRDefault="006D7CD9" w:rsidP="006D7C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Annak alátámasztására, hogy milyen fontos 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helyes kiválasztása, nézzünk egy példát. Tételezzük fel, hogy két szomszéd úgy dönt, hogy napkollektoros rendszert valósítanak meg. Mindketten felszereltetnek házuk azonos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dõ</w:t>
                  </w:r>
                  <w:proofErr w:type="gram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lésû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és tájolású</w:t>
                  </w:r>
                  <w:proofErr w:type="gram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tetõfelületére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20m2, egyforma típusú napkollektort, melyek 1000 literes tárolót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fûtenek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. A munkálatok elvégzésével két, az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Installateur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olvasók által jól ismert épületgépész szakembert bíznak meg. Az egyik rendszert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Mekk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Elek, a másikat Hát Izsák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fûtésszerelõ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mester kivitelezi. A megvalósuló két rendszer között csupán az alkalmazott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hõcserélõben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van különbség.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Mekk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Elek ~1m2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felületû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belsõ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hõcserélõt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, Hát Izsák pedig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külsõ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, forrasztott lemezes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</w:t>
                  </w:r>
                  <w:proofErr w:type="gram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cserél</w:t>
                  </w:r>
                  <w:proofErr w:type="gram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õt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épít be.</w:t>
                  </w:r>
                </w:p>
                <w:p w:rsidR="006D7CD9" w:rsidRPr="006D7CD9" w:rsidRDefault="006D7CD9" w:rsidP="006D7C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Elkészülnek a rendszerek, kisüt a nap, és a szomszédok kíváncsian szemlélik egymás rendszerét. A tárolókban egyformán 30°C körüli 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hõmérséklet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, mégis azt tapasztalják, hogy 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Mekk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Elek által megépített rendszerben a kollektorokból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jövõ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meleg ág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hõmérséklete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90°C, míg Hát Izsák rendszerében csak 55°C. Vajon melyik a jobb rendszer? Nos, ha ilyen eset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elõfordulna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, akkor nagy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valószínûséggel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a Hát Izsák által kivitelezett rendszer gazdája elszomorodna, a másik szomszéd pedig dicsekedne azzal, hogy az õ kollektorai mennyivel jobban felmelegednek. Ha 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megrendelõk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rendszerébe nincs beépítve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hõmennyiségmérõ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(vagy erre alkalmas szabályozó), akkor a rendszer jóságát általában csak a kollektorok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hõmérséklete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alapján ítélik meg</w:t>
                  </w:r>
                </w:p>
                <w:tbl>
                  <w:tblPr>
                    <w:tblW w:w="7575" w:type="dxa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75"/>
                  </w:tblGrid>
                  <w:tr w:rsidR="006D7CD9" w:rsidRPr="006D7CD9">
                    <w:trPr>
                      <w:tblCellSpacing w:w="15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6D7CD9" w:rsidRPr="006D7CD9" w:rsidRDefault="006D7CD9" w:rsidP="006D7C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hu-HU"/>
                          </w:rPr>
                          <w:lastRenderedPageBreak/>
                          <w:drawing>
                            <wp:inline distT="0" distB="0" distL="0" distR="0">
                              <wp:extent cx="2809875" cy="1476375"/>
                              <wp:effectExtent l="0" t="0" r="9525" b="0"/>
                              <wp:docPr id="2" name="Kép 2" descr="http://www.naplopo.hu/Cikkek/Hocserelo/2abr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naplopo.hu/Cikkek/Hocserelo/2abr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09875" cy="1476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CD9" w:rsidRPr="006D7CD9">
                    <w:trPr>
                      <w:tblCellSpacing w:w="15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6D7CD9" w:rsidRPr="006D7CD9" w:rsidRDefault="006D7CD9" w:rsidP="006D7C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6D7C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  <w:r w:rsidRPr="006D7CD9">
                          <w:rPr>
                            <w:rFonts w:ascii="Arial CE" w:eastAsia="Times New Roman" w:hAnsi="Arial CE" w:cs="Arial CE"/>
                            <w:b/>
                            <w:bCs/>
                            <w:sz w:val="20"/>
                            <w:szCs w:val="20"/>
                            <w:lang w:eastAsia="hu-HU"/>
                          </w:rPr>
                          <w:t>2. ábra</w:t>
                        </w:r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br/>
                        </w:r>
                        <w:proofErr w:type="gramStart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>A</w:t>
                        </w:r>
                        <w:proofErr w:type="gramEnd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 xml:space="preserve"> </w:t>
                        </w:r>
                        <w:proofErr w:type="spellStart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>kollektorkör</w:t>
                        </w:r>
                        <w:proofErr w:type="spellEnd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 xml:space="preserve"> </w:t>
                        </w:r>
                        <w:proofErr w:type="spellStart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>elõremenõ</w:t>
                        </w:r>
                        <w:proofErr w:type="spellEnd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 xml:space="preserve"> és </w:t>
                        </w:r>
                        <w:proofErr w:type="spellStart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>visszatérõ</w:t>
                        </w:r>
                        <w:proofErr w:type="spellEnd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 xml:space="preserve"> </w:t>
                        </w:r>
                        <w:proofErr w:type="spellStart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>hõmérsékletei</w:t>
                        </w:r>
                        <w:proofErr w:type="spellEnd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 xml:space="preserve"> a példabeli rendszerekben</w:t>
                        </w:r>
                      </w:p>
                    </w:tc>
                  </w:tr>
                </w:tbl>
                <w:p w:rsidR="006D7CD9" w:rsidRPr="006D7CD9" w:rsidRDefault="006D7CD9" w:rsidP="006D7C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Hogyan lehetne elmagyarázni a szomszédoknak, hogy a valóságban pontosan fordított a helyzet? Annak a rendszernek, ahol a kollektorok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hõmérséklete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alacsonyabb, sokkal nagyobb 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hõteljesítménye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. Miért magasabb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Mekk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Elek rendszerében a kollektorok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hõmérséklete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? Nyilvánvalóan azért, mert az alkalmazott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felülete túl kicsi, és a kollektorok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hõteljesítményüket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csak magas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hõmérsékletkülönbséggel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tudják leadni. 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hõcserélõk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alapegyenlete:</w:t>
                  </w:r>
                </w:p>
                <w:p w:rsidR="006D7CD9" w:rsidRPr="006D7CD9" w:rsidRDefault="006D7CD9" w:rsidP="006D7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D7CD9"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hu-HU"/>
                    </w:rPr>
                    <w:t>Q=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hu-HU"/>
                    </w:rPr>
                    <w:t>k.</w:t>
                  </w:r>
                  <w:proofErr w:type="gramStart"/>
                  <w:r w:rsidRPr="006D7CD9"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hu-HU"/>
                    </w:rPr>
                    <w:t>A</w:t>
                  </w:r>
                  <w:proofErr w:type="gramEnd"/>
                  <w:r w:rsidRPr="006D7CD9"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hu-HU"/>
                    </w:rPr>
                    <w:t>.Dt</w:t>
                  </w:r>
                  <w:proofErr w:type="spellEnd"/>
                  <w:r w:rsidRPr="006D7C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 </w:t>
                  </w:r>
                </w:p>
                <w:tbl>
                  <w:tblPr>
                    <w:tblW w:w="7350" w:type="dxa"/>
                    <w:jc w:val="center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2"/>
                    <w:gridCol w:w="341"/>
                    <w:gridCol w:w="6787"/>
                  </w:tblGrid>
                  <w:tr w:rsidR="006D7CD9" w:rsidRPr="006D7CD9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6D7CD9" w:rsidRPr="006D7CD9" w:rsidRDefault="006D7CD9" w:rsidP="006D7C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6D7C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>Ahol:</w:t>
                        </w:r>
                      </w:p>
                    </w:tc>
                  </w:tr>
                  <w:tr w:rsidR="006D7CD9" w:rsidRPr="006D7CD9">
                    <w:trPr>
                      <w:trHeight w:val="34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D7CD9" w:rsidRPr="006D7CD9" w:rsidRDefault="006D7CD9" w:rsidP="006D7C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  <w:tc>
                      <w:tcPr>
                        <w:tcW w:w="200" w:type="pct"/>
                        <w:vAlign w:val="center"/>
                        <w:hideMark/>
                      </w:tcPr>
                      <w:p w:rsidR="006D7CD9" w:rsidRPr="006D7CD9" w:rsidRDefault="006D7CD9" w:rsidP="006D7C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6D7C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  <w:r w:rsidRPr="006D7CD9">
                          <w:rPr>
                            <w:rFonts w:ascii="Arial CE" w:eastAsia="Times New Roman" w:hAnsi="Arial CE" w:cs="Arial CE"/>
                            <w:b/>
                            <w:bCs/>
                            <w:sz w:val="20"/>
                            <w:szCs w:val="20"/>
                            <w:lang w:eastAsia="hu-HU"/>
                          </w:rPr>
                          <w:t>Q</w:t>
                        </w:r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>:</w:t>
                        </w:r>
                      </w:p>
                    </w:tc>
                    <w:tc>
                      <w:tcPr>
                        <w:tcW w:w="4650" w:type="pct"/>
                        <w:vAlign w:val="center"/>
                        <w:hideMark/>
                      </w:tcPr>
                      <w:p w:rsidR="006D7CD9" w:rsidRPr="006D7CD9" w:rsidRDefault="006D7CD9" w:rsidP="006D7C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6D7C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 xml:space="preserve">az átadott </w:t>
                        </w:r>
                        <w:proofErr w:type="spellStart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>hõteljesítmény</w:t>
                        </w:r>
                        <w:proofErr w:type="spellEnd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 xml:space="preserve"> [W]</w:t>
                        </w:r>
                      </w:p>
                    </w:tc>
                  </w:tr>
                  <w:tr w:rsidR="006D7CD9" w:rsidRPr="006D7CD9">
                    <w:trPr>
                      <w:trHeight w:val="34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D7CD9" w:rsidRPr="006D7CD9" w:rsidRDefault="006D7CD9" w:rsidP="006D7C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  <w:tc>
                      <w:tcPr>
                        <w:tcW w:w="200" w:type="pct"/>
                        <w:vAlign w:val="center"/>
                        <w:hideMark/>
                      </w:tcPr>
                      <w:p w:rsidR="006D7CD9" w:rsidRPr="006D7CD9" w:rsidRDefault="006D7CD9" w:rsidP="006D7C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6D7C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  <w:r w:rsidRPr="006D7CD9">
                          <w:rPr>
                            <w:rFonts w:ascii="Arial CE" w:eastAsia="Times New Roman" w:hAnsi="Arial CE" w:cs="Arial CE"/>
                            <w:b/>
                            <w:bCs/>
                            <w:sz w:val="20"/>
                            <w:szCs w:val="20"/>
                            <w:lang w:eastAsia="hu-HU"/>
                          </w:rPr>
                          <w:t>k</w:t>
                        </w:r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>:</w:t>
                        </w:r>
                      </w:p>
                    </w:tc>
                    <w:tc>
                      <w:tcPr>
                        <w:tcW w:w="4650" w:type="pct"/>
                        <w:vAlign w:val="center"/>
                        <w:hideMark/>
                      </w:tcPr>
                      <w:p w:rsidR="006D7CD9" w:rsidRPr="006D7CD9" w:rsidRDefault="006D7CD9" w:rsidP="006D7C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6D7C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 xml:space="preserve">a </w:t>
                        </w:r>
                        <w:proofErr w:type="spellStart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>hõátbocsátási</w:t>
                        </w:r>
                        <w:proofErr w:type="spellEnd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 xml:space="preserve"> </w:t>
                        </w:r>
                        <w:proofErr w:type="spellStart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>tényezõ</w:t>
                        </w:r>
                        <w:proofErr w:type="spellEnd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 xml:space="preserve"> [W/m2</w:t>
                        </w:r>
                        <w:proofErr w:type="gramStart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>.K</w:t>
                        </w:r>
                        <w:proofErr w:type="gramEnd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>]</w:t>
                        </w:r>
                      </w:p>
                    </w:tc>
                  </w:tr>
                  <w:tr w:rsidR="006D7CD9" w:rsidRPr="006D7CD9">
                    <w:trPr>
                      <w:trHeight w:val="34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D7CD9" w:rsidRPr="006D7CD9" w:rsidRDefault="006D7CD9" w:rsidP="006D7C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  <w:tc>
                      <w:tcPr>
                        <w:tcW w:w="200" w:type="pct"/>
                        <w:vAlign w:val="center"/>
                        <w:hideMark/>
                      </w:tcPr>
                      <w:p w:rsidR="006D7CD9" w:rsidRPr="006D7CD9" w:rsidRDefault="006D7CD9" w:rsidP="006D7C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6D7C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  <w:r w:rsidRPr="006D7CD9">
                          <w:rPr>
                            <w:rFonts w:ascii="Arial CE" w:eastAsia="Times New Roman" w:hAnsi="Arial CE" w:cs="Arial CE"/>
                            <w:b/>
                            <w:bCs/>
                            <w:sz w:val="20"/>
                            <w:szCs w:val="20"/>
                            <w:lang w:eastAsia="hu-HU"/>
                          </w:rPr>
                          <w:t>A</w:t>
                        </w:r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>:</w:t>
                        </w:r>
                      </w:p>
                    </w:tc>
                    <w:tc>
                      <w:tcPr>
                        <w:tcW w:w="4650" w:type="pct"/>
                        <w:vAlign w:val="center"/>
                        <w:hideMark/>
                      </w:tcPr>
                      <w:p w:rsidR="006D7CD9" w:rsidRPr="006D7CD9" w:rsidRDefault="006D7CD9" w:rsidP="006D7C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6D7C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 xml:space="preserve">a </w:t>
                        </w:r>
                        <w:proofErr w:type="spellStart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>hõcserélõ</w:t>
                        </w:r>
                        <w:proofErr w:type="spellEnd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 xml:space="preserve"> </w:t>
                        </w:r>
                        <w:proofErr w:type="spellStart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>fûtõfelülete</w:t>
                        </w:r>
                        <w:proofErr w:type="spellEnd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 xml:space="preserve"> [m2]</w:t>
                        </w:r>
                      </w:p>
                    </w:tc>
                  </w:tr>
                  <w:tr w:rsidR="006D7CD9" w:rsidRPr="006D7CD9">
                    <w:trPr>
                      <w:trHeight w:val="34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D7CD9" w:rsidRPr="006D7CD9" w:rsidRDefault="006D7CD9" w:rsidP="006D7C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  <w:tc>
                      <w:tcPr>
                        <w:tcW w:w="200" w:type="pct"/>
                        <w:vAlign w:val="center"/>
                        <w:hideMark/>
                      </w:tcPr>
                      <w:p w:rsidR="006D7CD9" w:rsidRPr="006D7CD9" w:rsidRDefault="006D7CD9" w:rsidP="006D7C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6D7C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  <w:proofErr w:type="spellStart"/>
                        <w:r w:rsidRPr="006D7CD9">
                          <w:rPr>
                            <w:rFonts w:ascii="Arial CE" w:eastAsia="Times New Roman" w:hAnsi="Arial CE" w:cs="Arial CE"/>
                            <w:b/>
                            <w:bCs/>
                            <w:sz w:val="20"/>
                            <w:szCs w:val="20"/>
                            <w:lang w:eastAsia="hu-HU"/>
                          </w:rPr>
                          <w:t>Dt</w:t>
                        </w:r>
                        <w:proofErr w:type="spellEnd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>:</w:t>
                        </w:r>
                      </w:p>
                    </w:tc>
                    <w:tc>
                      <w:tcPr>
                        <w:tcW w:w="4650" w:type="pct"/>
                        <w:vAlign w:val="center"/>
                        <w:hideMark/>
                      </w:tcPr>
                      <w:p w:rsidR="006D7CD9" w:rsidRPr="006D7CD9" w:rsidRDefault="006D7CD9" w:rsidP="006D7C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 xml:space="preserve">a közepes </w:t>
                        </w:r>
                        <w:proofErr w:type="spellStart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>hõmérsékletkülönbség</w:t>
                        </w:r>
                        <w:proofErr w:type="spellEnd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 xml:space="preserve"> a </w:t>
                        </w:r>
                        <w:proofErr w:type="spellStart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>fûtõ</w:t>
                        </w:r>
                        <w:proofErr w:type="spellEnd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 xml:space="preserve"> és a </w:t>
                        </w:r>
                        <w:proofErr w:type="spellStart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>fûtött</w:t>
                        </w:r>
                        <w:proofErr w:type="spellEnd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 xml:space="preserve"> közeg között [°C]</w:t>
                        </w:r>
                      </w:p>
                    </w:tc>
                  </w:tr>
                </w:tbl>
                <w:p w:rsidR="006D7CD9" w:rsidRPr="006D7CD9" w:rsidRDefault="006D7CD9" w:rsidP="006D7C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Ha 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hu-HU"/>
                    </w:rPr>
                    <w:t>k.</w:t>
                  </w:r>
                  <w:proofErr w:type="gramStart"/>
                  <w:r w:rsidRPr="006D7CD9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hu-HU"/>
                    </w:rPr>
                    <w:t>A</w:t>
                  </w:r>
                  <w:proofErr w:type="spellEnd"/>
                  <w:proofErr w:type="gram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érték kicsi (ami végül is 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hõátadó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képességét jellemzi), akkor azonos </w:t>
                  </w:r>
                  <w:r w:rsidRPr="006D7CD9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hu-HU"/>
                    </w:rPr>
                    <w:t>Q</w:t>
                  </w:r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hõteljesítményt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csak nagyobb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hu-HU"/>
                    </w:rPr>
                    <w:t>Dt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hõmérsékletkülönbséggel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lehet átadni. Ilyen esetben, ha a napsütés teljesítménye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elegendõ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, akkor a kollektorok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hõmérséklete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megemelkedik addig az értékig, amíg 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hõmérsékletkülönbség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növekedése ellensúlyozni tudja az alacsony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hu-HU"/>
                    </w:rPr>
                    <w:t>k.</w:t>
                  </w:r>
                  <w:proofErr w:type="gramStart"/>
                  <w:r w:rsidRPr="006D7CD9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hu-HU"/>
                    </w:rPr>
                    <w:t>A</w:t>
                  </w:r>
                  <w:proofErr w:type="spellEnd"/>
                  <w:proofErr w:type="gram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értéket. Ha viszont a kollektorok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hõmérséklete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magasabb, akkor növekszik 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hõveszteségük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is, ezért csökken a hatásfokuk. Ez a hatásfok csökkenés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jelentõs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is lehet. A 3. ábrából látható a két rendszer pillanatnyi hatásfoka (a környezeti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levegõ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hõmérsékletét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25°C-ra vettük, a napsugárzás teljesítményét pedig 800W/m2-re). Ekkor 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Mekk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Elek által szerelt rendszer pillanatnyi hatásfoka 44%-os, teljesítménye 7040W, míg Hát Izsák rendszerénél ugyanezek az értékek 67%, és 10720W. Tehát a nagyobb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alkalmazása eredményeként az alacsonyabb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hõmérsékletû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rendszer másfélszer nagyobb teljesítménnyel üzemel. Leszögezhetjük tehát: a jó napkollektoros rendszer nem feltétlenül a magas kollektor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hõmérsékletrõl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ismerszik meg. A jól megtervezett kollektoros rendszerben a kollektorok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hõmérséklete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csak 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hõátadáshoz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szükséges mértékben melegebb 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fûtött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közeg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hõmérsékleténél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.</w:t>
                  </w:r>
                </w:p>
                <w:tbl>
                  <w:tblPr>
                    <w:tblW w:w="7575" w:type="dxa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75"/>
                  </w:tblGrid>
                  <w:tr w:rsidR="006D7CD9" w:rsidRPr="006D7CD9">
                    <w:trPr>
                      <w:tblCellSpacing w:w="15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6D7CD9" w:rsidRPr="006D7CD9" w:rsidRDefault="006D7CD9" w:rsidP="006D7C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hu-HU"/>
                          </w:rPr>
                          <w:drawing>
                            <wp:inline distT="0" distB="0" distL="0" distR="0">
                              <wp:extent cx="3124200" cy="2171700"/>
                              <wp:effectExtent l="19050" t="0" r="0" b="0"/>
                              <wp:docPr id="3" name="Kép 3" descr="http://www.naplopo.hu/Cikkek/Hocserelo/3abr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naplopo.hu/Cikkek/Hocserelo/3abr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24200" cy="2171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CD9" w:rsidRPr="006D7CD9">
                    <w:trPr>
                      <w:tblCellSpacing w:w="15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6D7CD9" w:rsidRPr="006D7CD9" w:rsidRDefault="006D7CD9" w:rsidP="006D7C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6D7C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lastRenderedPageBreak/>
                          <w:t> </w:t>
                        </w:r>
                        <w:r w:rsidRPr="006D7CD9">
                          <w:rPr>
                            <w:rFonts w:ascii="Arial CE" w:eastAsia="Times New Roman" w:hAnsi="Arial CE" w:cs="Arial CE"/>
                            <w:b/>
                            <w:bCs/>
                            <w:sz w:val="20"/>
                            <w:szCs w:val="20"/>
                            <w:lang w:eastAsia="hu-HU"/>
                          </w:rPr>
                          <w:t>3. ábra</w:t>
                        </w:r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br/>
                        </w:r>
                        <w:proofErr w:type="gramStart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>A</w:t>
                        </w:r>
                        <w:proofErr w:type="gramEnd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 xml:space="preserve"> vizsgált két rendszer pillanatnyi hatásfoka</w:t>
                        </w:r>
                      </w:p>
                    </w:tc>
                  </w:tr>
                </w:tbl>
                <w:p w:rsidR="006D7CD9" w:rsidRPr="006D7CD9" w:rsidRDefault="006D7CD9" w:rsidP="006D7C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6D7CD9"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hu-HU"/>
                    </w:rPr>
                    <w:t>Belsõ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hu-HU"/>
                    </w:rPr>
                    <w:t>hõcserélõk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hu-HU"/>
                    </w:rPr>
                    <w:t xml:space="preserve"> alkalmazása</w:t>
                  </w:r>
                </w:p>
                <w:p w:rsidR="006D7CD9" w:rsidRPr="006D7CD9" w:rsidRDefault="006D7CD9" w:rsidP="006D7C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Kisebb,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fõleg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használati-melegvíz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készítõ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rendszerekben általában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belsõ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hõcserélõs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tárolókat alkalmaznak. Ezt indokolja a rendszer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egyszerûsége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, hiszen ekkor csak a kollektor kört kell rákötni a </w:t>
                  </w:r>
                  <w:proofErr w:type="spellStart"/>
                  <w:proofErr w:type="gram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</w:t>
                  </w:r>
                  <w:proofErr w:type="gram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õcserélõre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, míg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külsõ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esetén egy külön szivattyús tároló kört is ki kellene építeni. Amint az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elõzõ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példában láttuk 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belsõ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felületének a nagysága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jelentõsen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befolyásolja a hasznosítható napenergia mennyiségét. Mekkora legyen 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belsõ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felülete?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Célszerû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megállapítani egy irányszámot, ami megmutatja, mekkora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kollektorfelülethez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mekkora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szükséges. A 4. ábrán 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kollektorfelület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/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felület függvényében látható a kollektorokkal hasznosítható éves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hõmennyiség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(az ábra számítógépes szimulációs program segítségével készült).</w:t>
                  </w:r>
                </w:p>
                <w:tbl>
                  <w:tblPr>
                    <w:tblW w:w="7575" w:type="dxa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75"/>
                  </w:tblGrid>
                  <w:tr w:rsidR="006D7CD9" w:rsidRPr="006D7CD9">
                    <w:trPr>
                      <w:trHeight w:val="3615"/>
                      <w:tblCellSpacing w:w="15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6D7CD9" w:rsidRPr="006D7CD9" w:rsidRDefault="006D7CD9" w:rsidP="006D7C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hu-HU"/>
                          </w:rPr>
                          <w:drawing>
                            <wp:inline distT="0" distB="0" distL="0" distR="0">
                              <wp:extent cx="3790950" cy="2466975"/>
                              <wp:effectExtent l="19050" t="0" r="0" b="0"/>
                              <wp:docPr id="4" name="Kép 4" descr="http://www.naplopo.hu/Cikkek/Hocserelo/4abr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naplopo.hu/Cikkek/Hocserelo/4abr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90950" cy="2466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CD9" w:rsidRPr="006D7CD9">
                    <w:trPr>
                      <w:trHeight w:val="630"/>
                      <w:tblCellSpacing w:w="15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6D7CD9" w:rsidRPr="006D7CD9" w:rsidRDefault="006D7CD9" w:rsidP="006D7C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6D7C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  <w:r w:rsidRPr="006D7CD9">
                          <w:rPr>
                            <w:rFonts w:ascii="Arial CE" w:eastAsia="Times New Roman" w:hAnsi="Arial CE" w:cs="Arial CE"/>
                            <w:b/>
                            <w:bCs/>
                            <w:sz w:val="20"/>
                            <w:szCs w:val="20"/>
                            <w:lang w:eastAsia="hu-HU"/>
                          </w:rPr>
                          <w:t>4. ábra</w:t>
                        </w:r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br/>
                        </w:r>
                        <w:proofErr w:type="gramStart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>A</w:t>
                        </w:r>
                        <w:proofErr w:type="gramEnd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 xml:space="preserve"> kollektorok éves </w:t>
                        </w:r>
                        <w:proofErr w:type="spellStart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>hõmennyisége</w:t>
                        </w:r>
                        <w:proofErr w:type="spellEnd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 xml:space="preserve"> és a </w:t>
                        </w:r>
                        <w:proofErr w:type="spellStart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>belsõ</w:t>
                        </w:r>
                        <w:proofErr w:type="spellEnd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 xml:space="preserve"> </w:t>
                        </w:r>
                        <w:proofErr w:type="spellStart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>hõcserélõk</w:t>
                        </w:r>
                        <w:proofErr w:type="spellEnd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 xml:space="preserve"> fajlagos ára</w:t>
                        </w:r>
                      </w:p>
                    </w:tc>
                  </w:tr>
                </w:tbl>
                <w:p w:rsidR="006D7CD9" w:rsidRPr="006D7CD9" w:rsidRDefault="006D7CD9" w:rsidP="006D7C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A 4. ábra azt mutatja, hogy 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belsõ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felületének növelésével a hasznosítható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hõmennyiség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növekedése kb. 0,2m2/m2 értékig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jelentõs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, e fölött már kevésbé. Ezért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belsõ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hõcserélõs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rendszernél 1m2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kollektorfelülethez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~0,2m2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felületû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hõcserélõt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célszerû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alkalmazni. A javasolt érték sima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felületû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</w:t>
                  </w:r>
                  <w:proofErr w:type="gram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cserél</w:t>
                  </w:r>
                  <w:proofErr w:type="gram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õre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vonatkozik. Ha bordáscsöves réz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</w:t>
                  </w:r>
                  <w:proofErr w:type="gram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cserél</w:t>
                  </w:r>
                  <w:proofErr w:type="gram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õt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alkalmaznak, akkor a javasolt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felület nagyobb, 0,3-0,4m2/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kollektorfelület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m2. Ennek oka az, hogy a bordáscsöves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</w:t>
                  </w:r>
                  <w:proofErr w:type="gram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cserél</w:t>
                  </w:r>
                  <w:proofErr w:type="gram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hõátadási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tényezõje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rosszabb, mint a simacsöves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hõcserélõé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.</w:t>
                  </w:r>
                </w:p>
                <w:tbl>
                  <w:tblPr>
                    <w:tblW w:w="7575" w:type="dxa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75"/>
                  </w:tblGrid>
                  <w:tr w:rsidR="006D7CD9" w:rsidRPr="006D7CD9">
                    <w:trPr>
                      <w:trHeight w:val="1680"/>
                      <w:tblCellSpacing w:w="15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6D7CD9" w:rsidRPr="006D7CD9" w:rsidRDefault="006D7CD9" w:rsidP="006D7C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hu-HU"/>
                          </w:rPr>
                          <w:drawing>
                            <wp:inline distT="0" distB="0" distL="0" distR="0">
                              <wp:extent cx="2562225" cy="2009775"/>
                              <wp:effectExtent l="19050" t="0" r="9525" b="0"/>
                              <wp:docPr id="5" name="Kép 5" descr="http://www.naplopo.hu/Cikkek/Hocserelo/5abr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naplopo.hu/Cikkek/Hocserelo/5abr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62225" cy="2009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CD9" w:rsidRPr="006D7CD9">
                    <w:trPr>
                      <w:trHeight w:val="630"/>
                      <w:tblCellSpacing w:w="15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6D7CD9" w:rsidRPr="006D7CD9" w:rsidRDefault="006D7CD9" w:rsidP="006D7C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6D7C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lastRenderedPageBreak/>
                          <w:t> </w:t>
                        </w:r>
                        <w:r w:rsidRPr="006D7CD9">
                          <w:rPr>
                            <w:rFonts w:ascii="Arial CE" w:eastAsia="Times New Roman" w:hAnsi="Arial CE" w:cs="Arial CE"/>
                            <w:b/>
                            <w:bCs/>
                            <w:sz w:val="20"/>
                            <w:szCs w:val="20"/>
                            <w:lang w:eastAsia="hu-HU"/>
                          </w:rPr>
                          <w:t>5. ábra</w:t>
                        </w:r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br/>
                        </w:r>
                        <w:proofErr w:type="gramStart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>A</w:t>
                        </w:r>
                        <w:proofErr w:type="gramEnd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 xml:space="preserve"> </w:t>
                        </w:r>
                        <w:proofErr w:type="spellStart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>belsõ</w:t>
                        </w:r>
                        <w:proofErr w:type="spellEnd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 xml:space="preserve"> </w:t>
                        </w:r>
                        <w:proofErr w:type="spellStart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>hõcserélõk</w:t>
                        </w:r>
                        <w:proofErr w:type="spellEnd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 xml:space="preserve"> típusai</w:t>
                        </w:r>
                      </w:p>
                    </w:tc>
                  </w:tr>
                </w:tbl>
                <w:p w:rsidR="006D7CD9" w:rsidRPr="006D7CD9" w:rsidRDefault="006D7CD9" w:rsidP="006D7C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6D7CD9"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hu-HU"/>
                    </w:rPr>
                    <w:t>Külsõ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hu-HU"/>
                    </w:rPr>
                    <w:t>hõcserélõk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hu-HU"/>
                    </w:rPr>
                    <w:t xml:space="preserve"> alkalmazása</w:t>
                  </w:r>
                </w:p>
                <w:p w:rsidR="006D7CD9" w:rsidRPr="006D7CD9" w:rsidRDefault="006D7CD9" w:rsidP="006D7C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Nagyobb napkollektoros rendszerekben szinte minden esetben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külsõ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, ellenáramú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hõcserélõt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célszerû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alkalmazni. 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belsõ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méretezésénél elmondottak alapján már a példa szerinti 20m2-es rendszerben is az optimális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hõátadáshoz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simacsöves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esetén 4m2-es, bordáscsöves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</w:t>
                  </w:r>
                  <w:proofErr w:type="gram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cserél</w:t>
                  </w:r>
                  <w:proofErr w:type="gram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esetén pedig 6-8m2-es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hõcserélõre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lenne szükség. Ilyen nagy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belsõ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vagy nem is létezik, vagy ha igen, akkor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meglehetõsen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drága lenne.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Külsõ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hõcserélõnél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viszont nincs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felsõ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határ, ez bármekkora méretben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beszerezhetõ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, és a kollektoros rendszerhez viszonyított ára sem túl magas. </w:t>
                  </w:r>
                </w:p>
                <w:tbl>
                  <w:tblPr>
                    <w:tblW w:w="7575" w:type="dxa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75"/>
                  </w:tblGrid>
                  <w:tr w:rsidR="006D7CD9" w:rsidRPr="006D7CD9">
                    <w:trPr>
                      <w:trHeight w:val="1680"/>
                      <w:tblCellSpacing w:w="15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6D7CD9" w:rsidRPr="006D7CD9" w:rsidRDefault="006D7CD9" w:rsidP="006D7C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hu-HU"/>
                          </w:rPr>
                          <w:drawing>
                            <wp:inline distT="0" distB="0" distL="0" distR="0">
                              <wp:extent cx="3276600" cy="1590675"/>
                              <wp:effectExtent l="19050" t="0" r="0" b="0"/>
                              <wp:docPr id="6" name="Kép 6" descr="http://www.naplopo.hu/Cikkek/Hocserelo/6abr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naplopo.hu/Cikkek/Hocserelo/6abr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76600" cy="1590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CD9" w:rsidRPr="006D7CD9">
                    <w:trPr>
                      <w:trHeight w:val="630"/>
                      <w:tblCellSpacing w:w="15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6D7CD9" w:rsidRPr="006D7CD9" w:rsidRDefault="006D7CD9" w:rsidP="006D7C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6D7C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  <w:r w:rsidRPr="006D7CD9">
                          <w:rPr>
                            <w:rFonts w:ascii="Arial CE" w:eastAsia="Times New Roman" w:hAnsi="Arial CE" w:cs="Arial CE"/>
                            <w:b/>
                            <w:bCs/>
                            <w:sz w:val="20"/>
                            <w:szCs w:val="20"/>
                            <w:lang w:eastAsia="hu-HU"/>
                          </w:rPr>
                          <w:t>6. ábra</w:t>
                        </w:r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br/>
                        </w:r>
                        <w:proofErr w:type="spellStart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>Hõmérséklet</w:t>
                        </w:r>
                        <w:proofErr w:type="spellEnd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 xml:space="preserve"> viszonyok ellenáramú </w:t>
                        </w:r>
                        <w:proofErr w:type="spellStart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>külsõ</w:t>
                        </w:r>
                        <w:proofErr w:type="spellEnd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 xml:space="preserve"> </w:t>
                        </w:r>
                        <w:proofErr w:type="spellStart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>hõcserélõben</w:t>
                        </w:r>
                        <w:proofErr w:type="spellEnd"/>
                      </w:p>
                    </w:tc>
                  </w:tr>
                </w:tbl>
                <w:p w:rsidR="006D7CD9" w:rsidRPr="006D7CD9" w:rsidRDefault="006D7CD9" w:rsidP="006D7C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külsõ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hõcserélõk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üzemviszonyait legjobban 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fûtõ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és 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fûtött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közeg közötti logaritmikus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hõmérsékletkülönbség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(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logDt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) jellemzi. Minél kisebb ennek az értéke, annál alacsonyabb kollektor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hõmérséklet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érhetõ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el, tehát annál magasabb lehet a kollektorok hatásfoka. A 7. ábrán látható, hogy a kollektorok éves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hõmennyisége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hogyan csökken a logaritmikus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hõmérsékletkülönbség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növekedésével. Feltüntettük 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árának változását is. Az ábrából levonható következtetések:</w:t>
                  </w:r>
                </w:p>
                <w:p w:rsidR="006D7CD9" w:rsidRPr="006D7CD9" w:rsidRDefault="006D7CD9" w:rsidP="006D7CD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5°C-nál kisebb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logDt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csak nagyon nagy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méretû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, ezért drága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hõcserélõvel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érhetõ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el,</w:t>
                  </w:r>
                  <w:r w:rsidRPr="006D7C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 </w:t>
                  </w:r>
                </w:p>
                <w:p w:rsidR="006D7CD9" w:rsidRPr="006D7CD9" w:rsidRDefault="006D7CD9" w:rsidP="006D7CD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20°C-nál nagyobb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logDt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esetén a kollektorok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hõmennyisége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tovább csökken, ugyanakkor 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</w:t>
                  </w:r>
                  <w:proofErr w:type="gram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cserél</w:t>
                  </w:r>
                  <w:proofErr w:type="gram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ára alig változik,</w:t>
                  </w:r>
                  <w:r w:rsidRPr="006D7C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 </w:t>
                  </w:r>
                </w:p>
                <w:p w:rsidR="006D7CD9" w:rsidRPr="006D7CD9" w:rsidRDefault="006D7CD9" w:rsidP="006D7CD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5°C és 15°C közötti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logDt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esetén 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még nem túl drága, ugyanakkor a hasznosítható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hõmennyiség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sem csökken túlzott mértékben.</w:t>
                  </w:r>
                  <w:r w:rsidRPr="006D7C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 </w:t>
                  </w:r>
                </w:p>
                <w:p w:rsidR="006D7CD9" w:rsidRPr="006D7CD9" w:rsidRDefault="006D7CD9" w:rsidP="006D7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  <w:tbl>
                  <w:tblPr>
                    <w:tblW w:w="7575" w:type="dxa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75"/>
                  </w:tblGrid>
                  <w:tr w:rsidR="006D7CD9" w:rsidRPr="006D7CD9">
                    <w:trPr>
                      <w:trHeight w:val="1680"/>
                      <w:tblCellSpacing w:w="15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6D7CD9" w:rsidRPr="006D7CD9" w:rsidRDefault="006D7CD9" w:rsidP="006D7C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hu-HU"/>
                          </w:rPr>
                          <w:drawing>
                            <wp:inline distT="0" distB="0" distL="0" distR="0">
                              <wp:extent cx="3409950" cy="2219325"/>
                              <wp:effectExtent l="19050" t="0" r="0" b="0"/>
                              <wp:docPr id="7" name="Kép 7" descr="http://www.naplopo.hu/Cikkek/Hocserelo/7abr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www.naplopo.hu/Cikkek/Hocserelo/7abr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09950" cy="2219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CD9" w:rsidRPr="006D7CD9">
                    <w:trPr>
                      <w:trHeight w:val="630"/>
                      <w:tblCellSpacing w:w="15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6D7CD9" w:rsidRPr="006D7CD9" w:rsidRDefault="006D7CD9" w:rsidP="006D7C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6D7C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lastRenderedPageBreak/>
                          <w:t> </w:t>
                        </w:r>
                        <w:r w:rsidRPr="006D7CD9">
                          <w:rPr>
                            <w:rFonts w:ascii="Arial CE" w:eastAsia="Times New Roman" w:hAnsi="Arial CE" w:cs="Arial CE"/>
                            <w:b/>
                            <w:bCs/>
                            <w:sz w:val="20"/>
                            <w:szCs w:val="20"/>
                            <w:lang w:eastAsia="hu-HU"/>
                          </w:rPr>
                          <w:t>7. ábra</w:t>
                        </w:r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br/>
                        </w:r>
                        <w:proofErr w:type="gramStart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>A</w:t>
                        </w:r>
                        <w:proofErr w:type="gramEnd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 xml:space="preserve"> kollektorok éves </w:t>
                        </w:r>
                        <w:proofErr w:type="spellStart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>hõmennyisége</w:t>
                        </w:r>
                        <w:proofErr w:type="spellEnd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 xml:space="preserve"> és a </w:t>
                        </w:r>
                        <w:proofErr w:type="spellStart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>külsõ</w:t>
                        </w:r>
                        <w:proofErr w:type="spellEnd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 xml:space="preserve"> </w:t>
                        </w:r>
                        <w:proofErr w:type="spellStart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>hõcserélõk</w:t>
                        </w:r>
                        <w:proofErr w:type="spellEnd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 xml:space="preserve"> fajlagos ára</w:t>
                        </w:r>
                      </w:p>
                    </w:tc>
                  </w:tr>
                </w:tbl>
                <w:p w:rsidR="006D7CD9" w:rsidRPr="006D7CD9" w:rsidRDefault="006D7CD9" w:rsidP="006D7C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A következtetés tehát az, hogy napkollektoros rendszerben úgy kell 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külsõ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hõcserélõt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megválasztani, hogy 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logDt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értéke 5°C és 15°C között legyen. Mivel 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ára a rendszerhez képest csak pár százalék, ezért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célszerû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nagyobb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hõcserélõt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választani, 5°C körüli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logDt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értékkel.</w:t>
                  </w:r>
                </w:p>
                <w:p w:rsidR="006D7CD9" w:rsidRPr="006D7CD9" w:rsidRDefault="006D7CD9" w:rsidP="006D7C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Nézzük a konkrét számokat. Ha a példabeli 20m2-es rendszerben 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logDt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=5°C, akkor az éves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hõmennyiség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670kWh/m2, ha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logDt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=20°C, akkor 635kWh/m2. A különbség a kollektorokkal hasznosított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hõmennyiség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között 5,5%. A teljes napkollektoros rendszer ára kivitelezéssel együtt kb. 2 millió Ft.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Ebbõl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logDt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=5°C esetén ~65.000.-Ft,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logDt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=20°C esetén ~25.000.-Ft, a különbség 40.000.-Ft, ami a teljes rendszer árának 2%-</w:t>
                  </w:r>
                  <w:proofErr w:type="gram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a.</w:t>
                  </w:r>
                  <w:proofErr w:type="gram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Tehát 2%-os beruházás növeléssel a hasznosított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hõmennyiséget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5,5%-al lehet megnövelni.</w:t>
                  </w:r>
                </w:p>
                <w:p w:rsidR="006D7CD9" w:rsidRPr="006D7CD9" w:rsidRDefault="006D7CD9" w:rsidP="006D7C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D7CD9"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hu-HU"/>
                    </w:rPr>
                    <w:t xml:space="preserve">Medencék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hu-HU"/>
                    </w:rPr>
                    <w:t>fûtése</w:t>
                  </w:r>
                  <w:proofErr w:type="spellEnd"/>
                </w:p>
                <w:p w:rsidR="006D7CD9" w:rsidRPr="006D7CD9" w:rsidRDefault="006D7CD9" w:rsidP="006D7C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Napkollektoros medence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fûtõ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rendszerekben 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</w:t>
                  </w:r>
                  <w:proofErr w:type="gram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cserél</w:t>
                  </w:r>
                  <w:proofErr w:type="gram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õt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általában a vízforgató körbe építik be, ahol igen nagy a térfogatáram, még kisebb medencék esetén is több mint 10m3/óra. Ezért az ilyen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hõcserélõk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kialakításánál fontos szempont, hogy ekkora térfogatáramnál se legyen nagy a nyomásveszteségük. Erre a célra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csõköteges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, vagy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csõspirálos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hõcserélõket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gyártanak, ahol a köpenytér ellenállása valóban kicsi.</w:t>
                  </w:r>
                </w:p>
                <w:tbl>
                  <w:tblPr>
                    <w:tblW w:w="7575" w:type="dxa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75"/>
                  </w:tblGrid>
                  <w:tr w:rsidR="006D7CD9" w:rsidRPr="006D7CD9">
                    <w:trPr>
                      <w:trHeight w:val="1680"/>
                      <w:tblCellSpacing w:w="15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6D7CD9" w:rsidRPr="006D7CD9" w:rsidRDefault="006D7CD9" w:rsidP="006D7C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hu-HU"/>
                          </w:rPr>
                          <w:drawing>
                            <wp:inline distT="0" distB="0" distL="0" distR="0">
                              <wp:extent cx="1704975" cy="1762125"/>
                              <wp:effectExtent l="19050" t="0" r="9525" b="0"/>
                              <wp:docPr id="8" name="Kép 8" descr="http://www.naplopo.hu/Cikkek/Hocserelo/8abr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www.naplopo.hu/Cikkek/Hocserelo/8abr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04975" cy="1762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CD9" w:rsidRPr="006D7CD9">
                    <w:trPr>
                      <w:trHeight w:val="630"/>
                      <w:tblCellSpacing w:w="15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6D7CD9" w:rsidRPr="006D7CD9" w:rsidRDefault="006D7CD9" w:rsidP="006D7C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6D7C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  <w:r w:rsidRPr="006D7CD9">
                          <w:rPr>
                            <w:rFonts w:ascii="Arial CE" w:eastAsia="Times New Roman" w:hAnsi="Arial CE" w:cs="Arial CE"/>
                            <w:b/>
                            <w:bCs/>
                            <w:sz w:val="20"/>
                            <w:szCs w:val="20"/>
                            <w:lang w:eastAsia="hu-HU"/>
                          </w:rPr>
                          <w:t>8. ábra</w:t>
                        </w:r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br/>
                        </w:r>
                        <w:proofErr w:type="spellStart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>Hõcserélõ</w:t>
                        </w:r>
                        <w:proofErr w:type="spellEnd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 xml:space="preserve"> beépítése medence </w:t>
                        </w:r>
                        <w:proofErr w:type="spellStart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>fûtõ</w:t>
                        </w:r>
                        <w:proofErr w:type="spellEnd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 xml:space="preserve"> napkollektoros rendszerbe</w:t>
                        </w:r>
                      </w:p>
                    </w:tc>
                  </w:tr>
                </w:tbl>
                <w:p w:rsidR="006D7CD9" w:rsidRPr="006D7CD9" w:rsidRDefault="006D7CD9" w:rsidP="006D7C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A medencéket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fûtõ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hõcserélõknél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a forgalmazó az ún. névleges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hõteljesítményt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szokta megadni. Tipikus méret pl. a 40kW-os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. Vigyázat! Tálcán kínálja magát az a csábítóan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egyszerû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kiválasztási módszer, hogy a kollektoros rendszer várható, átlagos teljesítményét </w:t>
                  </w:r>
                  <w:proofErr w:type="gram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viszonyítsuk</w:t>
                  </w:r>
                  <w:proofErr w:type="gram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névleges teljesítményéhez. Ha a kollektorok teljesítményét 600W/m2 értékre vesszük, akkor pl. 20m2 kollektor alkalmazása esetén a kollektorok teljesítménye ~12kW. Tehát joggal gondolhatjuk úgy, hogy a 40kW-os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bõven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elegendõ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lesz</w:t>
                  </w:r>
                </w:p>
                <w:tbl>
                  <w:tblPr>
                    <w:tblW w:w="7575" w:type="dxa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75"/>
                  </w:tblGrid>
                  <w:tr w:rsidR="006D7CD9" w:rsidRPr="006D7CD9">
                    <w:trPr>
                      <w:trHeight w:val="1680"/>
                      <w:tblCellSpacing w:w="15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6D7CD9" w:rsidRPr="006D7CD9" w:rsidRDefault="006D7CD9" w:rsidP="006D7C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hu-HU"/>
                          </w:rPr>
                          <w:lastRenderedPageBreak/>
                          <w:drawing>
                            <wp:inline distT="0" distB="0" distL="0" distR="0">
                              <wp:extent cx="1628775" cy="2143125"/>
                              <wp:effectExtent l="19050" t="0" r="9525" b="0"/>
                              <wp:docPr id="9" name="Kép 9" descr="http://www.naplopo.hu/Cikkek/Hocserelo/9abr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www.naplopo.hu/Cikkek/Hocserelo/9abr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8775" cy="2143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CD9" w:rsidRPr="006D7CD9">
                    <w:trPr>
                      <w:trHeight w:val="630"/>
                      <w:tblCellSpacing w:w="15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6D7CD9" w:rsidRPr="006D7CD9" w:rsidRDefault="006D7CD9" w:rsidP="006D7C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6D7C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  <w:r w:rsidRPr="006D7CD9">
                          <w:rPr>
                            <w:rFonts w:ascii="Arial CE" w:eastAsia="Times New Roman" w:hAnsi="Arial CE" w:cs="Arial CE"/>
                            <w:b/>
                            <w:bCs/>
                            <w:sz w:val="20"/>
                            <w:szCs w:val="20"/>
                            <w:lang w:eastAsia="hu-HU"/>
                          </w:rPr>
                          <w:t>9. ábra</w:t>
                        </w:r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br/>
                        </w:r>
                        <w:proofErr w:type="gramStart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>A</w:t>
                        </w:r>
                        <w:proofErr w:type="gramEnd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 xml:space="preserve"> </w:t>
                        </w:r>
                        <w:proofErr w:type="spellStart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>hõcserélõ</w:t>
                        </w:r>
                        <w:proofErr w:type="spellEnd"/>
                        <w:r w:rsidRPr="006D7CD9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hu-HU"/>
                          </w:rPr>
                          <w:t xml:space="preserve"> névleges állapota</w:t>
                        </w:r>
                      </w:p>
                    </w:tc>
                  </w:tr>
                </w:tbl>
                <w:p w:rsidR="006D7CD9" w:rsidRPr="006D7CD9" w:rsidRDefault="006D7CD9" w:rsidP="006D7C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De vizsgáljuk meg a választott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hõcserélõt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részletesebben! A 40kW-ra vonatkozó névleges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hõmérséklet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és térfogatáram viszonyok a 9. ábrán láthatók. Mi viszont a kollektor körben 96°C-os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elõremenõ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hõmérséklet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helyett csak 40-50°C-ot szeretnénk, a kollektor köri térfogatáram pedig 1,5m3/óra helyett csak 0,6m3/óra. Nos, 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hõcserélõhöz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beszerezhetõ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méretezési program segítségével megállapítható, hogy ilyen viszonyok mellett a 40kW-os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még 5kW-ot sem képes átadni. Vagyis, ha ezt 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hõcserélõt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választottuk, akkor 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hõátadás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csak nagyobb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hõmérsékletkülönbséggel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lehetséges, tehát csökken a kollektoros rendszer hatásfoka.</w:t>
                  </w:r>
                </w:p>
                <w:p w:rsidR="006D7CD9" w:rsidRPr="006D7CD9" w:rsidRDefault="006D7CD9" w:rsidP="006D7C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A tanulság: ne </w:t>
                  </w:r>
                  <w:proofErr w:type="gram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engedjünk</w:t>
                  </w:r>
                  <w:proofErr w:type="gram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a </w:t>
                  </w:r>
                  <w:proofErr w:type="spellStart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>hõcserélõkön</w:t>
                  </w:r>
                  <w:proofErr w:type="spellEnd"/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t xml:space="preserve"> feltüntetett impozáns névleges adatok csábításának, a tervezés során használjunk számítógépes méretezési programot, és a valós üzemi viszonyokat vegyük figyelembe.</w:t>
                  </w:r>
                </w:p>
                <w:p w:rsidR="006D7CD9" w:rsidRPr="006D7CD9" w:rsidRDefault="006D7CD9" w:rsidP="006D7CD9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</w:pPr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pict>
                      <v:rect id="_x0000_i1025" style="width:0;height:1.5pt" o:hralign="center" o:hrstd="t" o:hr="t" fillcolor="#aca899" stroked="f"/>
                    </w:pict>
                  </w:r>
                </w:p>
                <w:p w:rsidR="006D7CD9" w:rsidRPr="006D7CD9" w:rsidRDefault="006D7CD9" w:rsidP="006D7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D7CD9">
                    <w:rPr>
                      <w:rFonts w:ascii="Arial CE" w:eastAsia="Times New Roman" w:hAnsi="Arial CE" w:cs="Arial CE"/>
                      <w:sz w:val="20"/>
                      <w:szCs w:val="20"/>
                      <w:lang w:eastAsia="hu-HU"/>
                    </w:rPr>
                    <w:br/>
                  </w:r>
                  <w:r>
                    <w:rPr>
                      <w:rFonts w:ascii="Arial CE" w:eastAsia="Times New Roman" w:hAnsi="Arial CE" w:cs="Arial CE"/>
                      <w:noProof/>
                      <w:color w:val="0000FF"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704850" cy="352425"/>
                        <wp:effectExtent l="19050" t="0" r="0" b="0"/>
                        <wp:docPr id="11" name="Kép 11" descr="http://www.naplopo.hu/rendszerar/kepek/vissza.gif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naplopo.hu/rendszerar/kepek/vissza.gif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D7CD9" w:rsidRPr="006D7CD9" w:rsidRDefault="006D7CD9" w:rsidP="006D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B20830" w:rsidRDefault="00B20830"/>
    <w:sectPr w:rsidR="00B20830" w:rsidSect="00B20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F68D5"/>
    <w:multiLevelType w:val="multilevel"/>
    <w:tmpl w:val="A676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7CD9"/>
    <w:rsid w:val="006D7CD9"/>
    <w:rsid w:val="00B20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08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D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7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0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hyperlink" Target="http://www.naplopo.hu/Cikkek/irasok-tartalom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1337</Words>
  <Characters>9227</Characters>
  <Application>Microsoft Office Word</Application>
  <DocSecurity>0</DocSecurity>
  <Lines>76</Lines>
  <Paragraphs>21</Paragraphs>
  <ScaleCrop>false</ScaleCrop>
  <Company>Johnson Controls</Company>
  <LinksUpToDate>false</LinksUpToDate>
  <CharactersWithSpaces>10543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Csonka Tibor</dc:creator>
  <cp:keywords/>
  <dc:description/>
  <cp:lastModifiedBy>Csonka Tibor</cp:lastModifiedBy>
  <cp:revision>1</cp:revision>
  <dcterms:created xsi:type="dcterms:W3CDTF">2011-09-19T15:40:00Z</dcterms:created>
  <dcterms:modified xsi:type="dcterms:W3CDTF">2011-09-19T15:40:00Z</dcterms:modified>
</cp:coreProperties>
</file>